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E" w:rsidRPr="00E91B7E" w:rsidRDefault="00F86601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sz w:val="24"/>
          <w:szCs w:val="24"/>
        </w:rPr>
      </w:pPr>
      <w:r w:rsidRPr="00E91B7E">
        <w:rPr>
          <w:rFonts w:ascii="Arial" w:hAnsi="Arial" w:cs="Arial"/>
          <w:b/>
          <w:sz w:val="24"/>
          <w:szCs w:val="24"/>
        </w:rPr>
        <w:t>NSC Technical Subcommittee Call Minutes –</w:t>
      </w:r>
      <w:r w:rsidR="00BB47A1">
        <w:rPr>
          <w:rFonts w:ascii="Arial" w:hAnsi="Arial" w:cs="Arial"/>
          <w:b/>
          <w:sz w:val="24"/>
          <w:szCs w:val="24"/>
        </w:rPr>
        <w:t xml:space="preserve"> </w:t>
      </w:r>
      <w:r w:rsidR="00E00442">
        <w:rPr>
          <w:rFonts w:ascii="Arial" w:hAnsi="Arial" w:cs="Arial"/>
          <w:b/>
          <w:sz w:val="24"/>
          <w:szCs w:val="24"/>
        </w:rPr>
        <w:t>December 20</w:t>
      </w:r>
      <w:r w:rsidR="00BD6EFC">
        <w:rPr>
          <w:rFonts w:ascii="Arial" w:hAnsi="Arial" w:cs="Arial"/>
          <w:b/>
          <w:sz w:val="24"/>
          <w:szCs w:val="24"/>
        </w:rPr>
        <w:t>, 2016</w:t>
      </w:r>
    </w:p>
    <w:p w:rsidR="00C6170F" w:rsidRPr="00126447" w:rsidRDefault="00126447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/>
          <w:sz w:val="24"/>
          <w:szCs w:val="24"/>
        </w:rPr>
      </w:pPr>
      <w:r w:rsidRPr="00126447">
        <w:rPr>
          <w:rFonts w:ascii="Arial" w:hAnsi="Arial" w:cs="Arial"/>
          <w:b/>
          <w:sz w:val="24"/>
          <w:szCs w:val="24"/>
        </w:rPr>
        <w:t>Participation [by regions]</w:t>
      </w:r>
      <w:r w:rsidR="00C6170F" w:rsidRPr="00126447">
        <w:rPr>
          <w:rFonts w:ascii="Arial" w:hAnsi="Arial" w:cs="Arial"/>
          <w:b/>
          <w:sz w:val="24"/>
          <w:szCs w:val="24"/>
        </w:rPr>
        <w:t>:</w:t>
      </w:r>
    </w:p>
    <w:p w:rsidR="00C6170F" w:rsidRDefault="00196A63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C7167">
        <w:rPr>
          <w:rFonts w:ascii="Arial" w:hAnsi="Arial" w:cs="Arial"/>
          <w:sz w:val="24"/>
          <w:szCs w:val="24"/>
        </w:rPr>
        <w:t>:</w:t>
      </w:r>
      <w:r w:rsidR="008C71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Sara Johnson</w:t>
      </w:r>
      <w:r w:rsidR="00C7499E">
        <w:rPr>
          <w:rFonts w:ascii="Arial" w:hAnsi="Arial" w:cs="Arial"/>
          <w:sz w:val="24"/>
          <w:szCs w:val="24"/>
        </w:rPr>
        <w:t xml:space="preserve"> &amp; Melissa </w:t>
      </w:r>
      <w:proofErr w:type="spellStart"/>
      <w:r w:rsidR="00C7499E">
        <w:rPr>
          <w:rFonts w:ascii="Arial" w:hAnsi="Arial" w:cs="Arial"/>
          <w:sz w:val="24"/>
          <w:szCs w:val="24"/>
        </w:rPr>
        <w:t>Zych</w:t>
      </w:r>
      <w:proofErr w:type="spellEnd"/>
      <w:r w:rsidR="008C7167">
        <w:rPr>
          <w:rFonts w:ascii="Arial" w:hAnsi="Arial" w:cs="Arial"/>
          <w:sz w:val="24"/>
          <w:szCs w:val="24"/>
        </w:rPr>
        <w:t xml:space="preserve"> – N</w:t>
      </w:r>
      <w:r>
        <w:rPr>
          <w:rFonts w:ascii="Arial" w:hAnsi="Arial" w:cs="Arial"/>
          <w:sz w:val="24"/>
          <w:szCs w:val="24"/>
        </w:rPr>
        <w:t>H</w:t>
      </w:r>
    </w:p>
    <w:p w:rsidR="00E77C29" w:rsidRPr="00126447" w:rsidRDefault="00E77C29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ab/>
        <w:t xml:space="preserve">Harry Ching </w:t>
      </w:r>
      <w:r w:rsidR="005750D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NY</w:t>
      </w:r>
      <w:r w:rsidR="005750D9">
        <w:rPr>
          <w:rFonts w:ascii="Arial" w:hAnsi="Arial" w:cs="Arial"/>
          <w:sz w:val="24"/>
          <w:szCs w:val="24"/>
        </w:rPr>
        <w:t xml:space="preserve"> and Edward Bakos - NJ</w:t>
      </w:r>
    </w:p>
    <w:p w:rsidR="00BB47A1" w:rsidRPr="00E55AB0" w:rsidRDefault="00C6170F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3: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DA708B">
        <w:rPr>
          <w:rFonts w:ascii="Arial" w:hAnsi="Arial" w:cs="Arial"/>
          <w:sz w:val="24"/>
          <w:szCs w:val="24"/>
        </w:rPr>
        <w:t>Carrie Wintersteen</w:t>
      </w:r>
      <w:r w:rsidR="005750D9">
        <w:rPr>
          <w:rFonts w:ascii="Arial" w:hAnsi="Arial" w:cs="Arial"/>
          <w:sz w:val="24"/>
          <w:szCs w:val="24"/>
        </w:rPr>
        <w:t xml:space="preserve"> </w:t>
      </w:r>
      <w:r w:rsidR="00DA708B">
        <w:rPr>
          <w:rFonts w:ascii="Arial" w:hAnsi="Arial" w:cs="Arial"/>
          <w:sz w:val="24"/>
          <w:szCs w:val="24"/>
        </w:rPr>
        <w:t xml:space="preserve">&amp; </w:t>
      </w:r>
      <w:r w:rsidR="00196A63">
        <w:rPr>
          <w:rFonts w:ascii="Arial" w:hAnsi="Arial" w:cs="Arial"/>
          <w:sz w:val="24"/>
          <w:szCs w:val="24"/>
        </w:rPr>
        <w:t>Jeremy Hancher</w:t>
      </w:r>
      <w:r w:rsidR="00E77C29">
        <w:rPr>
          <w:rFonts w:ascii="Arial" w:hAnsi="Arial" w:cs="Arial"/>
          <w:sz w:val="24"/>
          <w:szCs w:val="24"/>
        </w:rPr>
        <w:t xml:space="preserve"> </w:t>
      </w:r>
      <w:r w:rsidR="00236B87">
        <w:rPr>
          <w:rFonts w:ascii="Arial" w:hAnsi="Arial" w:cs="Arial"/>
          <w:sz w:val="24"/>
          <w:szCs w:val="24"/>
        </w:rPr>
        <w:t>–</w:t>
      </w:r>
      <w:r w:rsidR="00E55AB0">
        <w:rPr>
          <w:rFonts w:ascii="Arial" w:hAnsi="Arial" w:cs="Arial"/>
          <w:sz w:val="24"/>
          <w:szCs w:val="24"/>
        </w:rPr>
        <w:t xml:space="preserve"> PA</w:t>
      </w:r>
    </w:p>
    <w:p w:rsidR="00C6170F" w:rsidRPr="00E55AB0" w:rsidRDefault="00C6170F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4: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3A2449">
        <w:rPr>
          <w:rFonts w:ascii="Arial" w:hAnsi="Arial" w:cs="Arial"/>
          <w:sz w:val="24"/>
          <w:szCs w:val="24"/>
        </w:rPr>
        <w:t xml:space="preserve">Tony Pendola – NC; </w:t>
      </w:r>
      <w:r w:rsidR="00DA708B">
        <w:rPr>
          <w:rFonts w:ascii="Arial" w:hAnsi="Arial" w:cs="Arial"/>
          <w:sz w:val="24"/>
          <w:szCs w:val="24"/>
        </w:rPr>
        <w:t>Donovan Grimwood</w:t>
      </w:r>
      <w:r w:rsidR="00D61195">
        <w:rPr>
          <w:rFonts w:ascii="Arial" w:hAnsi="Arial" w:cs="Arial"/>
          <w:sz w:val="24"/>
          <w:szCs w:val="24"/>
        </w:rPr>
        <w:t xml:space="preserve"> – </w:t>
      </w:r>
      <w:r w:rsidR="00DA708B">
        <w:rPr>
          <w:rFonts w:ascii="Arial" w:hAnsi="Arial" w:cs="Arial"/>
          <w:sz w:val="24"/>
          <w:szCs w:val="24"/>
        </w:rPr>
        <w:t>T</w:t>
      </w:r>
      <w:r w:rsidR="00D61195">
        <w:rPr>
          <w:rFonts w:ascii="Arial" w:hAnsi="Arial" w:cs="Arial"/>
          <w:sz w:val="24"/>
          <w:szCs w:val="24"/>
        </w:rPr>
        <w:t>N</w:t>
      </w:r>
      <w:r w:rsidR="005750D9">
        <w:rPr>
          <w:rFonts w:ascii="Arial" w:hAnsi="Arial" w:cs="Arial"/>
          <w:sz w:val="24"/>
          <w:szCs w:val="24"/>
        </w:rPr>
        <w:t>; Teresa Shiflett, John Yntema</w:t>
      </w:r>
      <w:r w:rsidR="00E77C29">
        <w:rPr>
          <w:rFonts w:ascii="Arial" w:hAnsi="Arial" w:cs="Arial"/>
          <w:sz w:val="24"/>
          <w:szCs w:val="24"/>
        </w:rPr>
        <w:t xml:space="preserve"> and </w:t>
      </w:r>
      <w:r w:rsidR="008C7167">
        <w:rPr>
          <w:rFonts w:ascii="Arial" w:hAnsi="Arial" w:cs="Arial"/>
          <w:sz w:val="24"/>
          <w:szCs w:val="24"/>
        </w:rPr>
        <w:t>Mary Talukder – GA</w:t>
      </w:r>
    </w:p>
    <w:p w:rsidR="001224FD" w:rsidRDefault="00C6170F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5: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3A2449">
        <w:rPr>
          <w:rFonts w:ascii="Arial" w:hAnsi="Arial" w:cs="Arial"/>
          <w:sz w:val="24"/>
          <w:szCs w:val="24"/>
        </w:rPr>
        <w:t xml:space="preserve">Aneka Swanson &amp; Mike Nelson – MN; Jenifer Dixon – MI; Ed Bakowski – IL; </w:t>
      </w:r>
      <w:r w:rsidR="008C7167">
        <w:rPr>
          <w:rFonts w:ascii="Arial" w:hAnsi="Arial" w:cs="Arial"/>
          <w:sz w:val="24"/>
          <w:szCs w:val="24"/>
        </w:rPr>
        <w:t>Todd Nein</w:t>
      </w:r>
      <w:r w:rsidR="00DA708B">
        <w:rPr>
          <w:rFonts w:ascii="Arial" w:hAnsi="Arial" w:cs="Arial"/>
          <w:sz w:val="24"/>
          <w:szCs w:val="24"/>
        </w:rPr>
        <w:t xml:space="preserve"> </w:t>
      </w:r>
      <w:r w:rsidR="008C7167">
        <w:rPr>
          <w:rFonts w:ascii="Arial" w:hAnsi="Arial" w:cs="Arial"/>
          <w:sz w:val="24"/>
          <w:szCs w:val="24"/>
        </w:rPr>
        <w:t xml:space="preserve">– OH </w:t>
      </w:r>
      <w:r w:rsidR="00236B87">
        <w:rPr>
          <w:rFonts w:ascii="Arial" w:hAnsi="Arial" w:cs="Arial"/>
          <w:sz w:val="24"/>
          <w:szCs w:val="24"/>
        </w:rPr>
        <w:t>and</w:t>
      </w:r>
      <w:r w:rsidR="00E55AB0" w:rsidRPr="00E55AB0">
        <w:rPr>
          <w:rFonts w:ascii="Arial" w:hAnsi="Arial" w:cs="Arial"/>
          <w:sz w:val="24"/>
          <w:szCs w:val="24"/>
        </w:rPr>
        <w:t xml:space="preserve"> Mark Stoddard</w:t>
      </w:r>
      <w:r w:rsidR="00E55AB0">
        <w:rPr>
          <w:rFonts w:ascii="Arial" w:hAnsi="Arial" w:cs="Arial"/>
          <w:sz w:val="24"/>
          <w:szCs w:val="24"/>
        </w:rPr>
        <w:t xml:space="preserve"> </w:t>
      </w:r>
      <w:r w:rsidR="00E70ED2">
        <w:rPr>
          <w:rFonts w:ascii="Arial" w:hAnsi="Arial" w:cs="Arial"/>
          <w:sz w:val="24"/>
          <w:szCs w:val="24"/>
        </w:rPr>
        <w:t>–</w:t>
      </w:r>
      <w:r w:rsidR="00E55AB0">
        <w:rPr>
          <w:rFonts w:ascii="Arial" w:hAnsi="Arial" w:cs="Arial"/>
          <w:sz w:val="24"/>
          <w:szCs w:val="24"/>
        </w:rPr>
        <w:t xml:space="preserve"> </w:t>
      </w:r>
      <w:r w:rsidR="00E55AB0" w:rsidRPr="00E55AB0">
        <w:rPr>
          <w:rFonts w:ascii="Arial" w:hAnsi="Arial" w:cs="Arial"/>
          <w:sz w:val="24"/>
          <w:szCs w:val="24"/>
        </w:rPr>
        <w:t>IN</w:t>
      </w:r>
      <w:r w:rsidR="00804D18">
        <w:rPr>
          <w:rFonts w:ascii="Arial" w:hAnsi="Arial" w:cs="Arial"/>
          <w:sz w:val="24"/>
          <w:szCs w:val="24"/>
        </w:rPr>
        <w:t>; Lisa Ashenbrenner Hunt, Renee Bashel, Jennifer Hamill - WI</w:t>
      </w:r>
    </w:p>
    <w:p w:rsidR="00E70ED2" w:rsidRPr="00E55AB0" w:rsidRDefault="00E70ED2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</w:t>
      </w:r>
      <w:r>
        <w:rPr>
          <w:rFonts w:ascii="Arial" w:hAnsi="Arial" w:cs="Arial"/>
          <w:sz w:val="24"/>
          <w:szCs w:val="24"/>
        </w:rPr>
        <w:tab/>
      </w:r>
      <w:r w:rsidR="003A2449">
        <w:rPr>
          <w:rFonts w:ascii="Arial" w:hAnsi="Arial" w:cs="Arial"/>
          <w:sz w:val="24"/>
          <w:szCs w:val="24"/>
        </w:rPr>
        <w:t xml:space="preserve">Patty Avery – TX; </w:t>
      </w:r>
      <w:r>
        <w:rPr>
          <w:rFonts w:ascii="Arial" w:hAnsi="Arial" w:cs="Arial"/>
          <w:sz w:val="24"/>
          <w:szCs w:val="24"/>
        </w:rPr>
        <w:t>Dianne Wilkins – OK and Sandy Spon - NM</w:t>
      </w:r>
    </w:p>
    <w:p w:rsidR="00D427FE" w:rsidRDefault="00D427FE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</w:t>
      </w:r>
      <w:r>
        <w:rPr>
          <w:rFonts w:ascii="Arial" w:hAnsi="Arial" w:cs="Arial"/>
          <w:sz w:val="24"/>
          <w:szCs w:val="24"/>
        </w:rPr>
        <w:tab/>
      </w:r>
      <w:r w:rsidR="003A2449">
        <w:rPr>
          <w:rFonts w:ascii="Arial" w:hAnsi="Arial" w:cs="Arial"/>
          <w:sz w:val="24"/>
          <w:szCs w:val="24"/>
        </w:rPr>
        <w:t>Nancy Larson</w:t>
      </w:r>
      <w:r w:rsidR="00EF4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KS</w:t>
      </w:r>
    </w:p>
    <w:p w:rsidR="00E70ED2" w:rsidRDefault="00E70ED2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</w:t>
      </w:r>
      <w:r>
        <w:rPr>
          <w:rFonts w:ascii="Arial" w:hAnsi="Arial" w:cs="Arial"/>
          <w:sz w:val="24"/>
          <w:szCs w:val="24"/>
        </w:rPr>
        <w:tab/>
      </w:r>
      <w:r w:rsidR="003A2449">
        <w:rPr>
          <w:rFonts w:ascii="Arial" w:hAnsi="Arial" w:cs="Arial"/>
          <w:sz w:val="24"/>
          <w:szCs w:val="24"/>
        </w:rPr>
        <w:t>Christine Hoefler</w:t>
      </w:r>
      <w:r>
        <w:rPr>
          <w:rFonts w:ascii="Arial" w:hAnsi="Arial" w:cs="Arial"/>
          <w:sz w:val="24"/>
          <w:szCs w:val="24"/>
        </w:rPr>
        <w:t xml:space="preserve"> – CO</w:t>
      </w:r>
    </w:p>
    <w:p w:rsidR="0053121C" w:rsidRPr="00574378" w:rsidRDefault="00CA59DA" w:rsidP="00C749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>9:</w:t>
      </w:r>
      <w:r>
        <w:rPr>
          <w:rFonts w:ascii="Arial" w:hAnsi="Arial" w:cs="Arial"/>
          <w:sz w:val="24"/>
          <w:szCs w:val="24"/>
        </w:rPr>
        <w:tab/>
      </w:r>
      <w:r w:rsidR="008C7167">
        <w:rPr>
          <w:rFonts w:ascii="Arial" w:hAnsi="Arial" w:cs="Arial"/>
          <w:sz w:val="24"/>
          <w:szCs w:val="24"/>
        </w:rPr>
        <w:t>Jenna Latt – CA</w:t>
      </w:r>
      <w:bookmarkStart w:id="0" w:name="OLE_LINK3"/>
      <w:bookmarkStart w:id="1" w:name="OLE_LINK4"/>
      <w:bookmarkStart w:id="2" w:name="OLE_LINK1"/>
      <w:bookmarkStart w:id="3" w:name="OLE_LINK2"/>
      <w:bookmarkStart w:id="4" w:name="_GoBack"/>
      <w:bookmarkEnd w:id="4"/>
    </w:p>
    <w:p w:rsidR="0053121C" w:rsidRDefault="0053121C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/>
          <w:bCs/>
          <w:sz w:val="24"/>
          <w:szCs w:val="24"/>
        </w:rPr>
      </w:pPr>
    </w:p>
    <w:p w:rsidR="000A0F9E" w:rsidRDefault="001717AE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</w:t>
      </w:r>
      <w:r w:rsidR="00E70ED2">
        <w:rPr>
          <w:rFonts w:ascii="Arial" w:hAnsi="Arial" w:cs="Arial"/>
          <w:b/>
          <w:bCs/>
          <w:sz w:val="24"/>
          <w:szCs w:val="24"/>
        </w:rPr>
        <w:t>ber</w:t>
      </w:r>
      <w:r w:rsidR="00D427FE">
        <w:rPr>
          <w:rFonts w:ascii="Arial" w:hAnsi="Arial" w:cs="Arial"/>
          <w:b/>
          <w:bCs/>
          <w:sz w:val="24"/>
          <w:szCs w:val="24"/>
        </w:rPr>
        <w:t xml:space="preserve"> </w:t>
      </w:r>
      <w:r w:rsidR="000D39D2" w:rsidRPr="00E91B7E">
        <w:rPr>
          <w:rFonts w:ascii="Arial" w:hAnsi="Arial" w:cs="Arial"/>
          <w:b/>
          <w:bCs/>
          <w:sz w:val="24"/>
          <w:szCs w:val="24"/>
        </w:rPr>
        <w:t>minutes</w:t>
      </w:r>
      <w:r w:rsidR="00A37FFC" w:rsidRPr="00E91B7E">
        <w:rPr>
          <w:rFonts w:ascii="Arial" w:hAnsi="Arial" w:cs="Arial"/>
          <w:b/>
          <w:bCs/>
          <w:sz w:val="24"/>
          <w:szCs w:val="24"/>
        </w:rPr>
        <w:t>:</w:t>
      </w:r>
      <w:r w:rsidR="00A37FFC" w:rsidRPr="0055288A">
        <w:rPr>
          <w:rFonts w:ascii="Arial" w:hAnsi="Arial" w:cs="Arial"/>
          <w:bCs/>
          <w:sz w:val="24"/>
          <w:szCs w:val="24"/>
        </w:rPr>
        <w:t xml:space="preserve">  </w:t>
      </w:r>
      <w:r w:rsidR="0055288A" w:rsidRPr="0055288A">
        <w:rPr>
          <w:rFonts w:ascii="Arial" w:hAnsi="Arial" w:cs="Arial"/>
          <w:bCs/>
          <w:sz w:val="24"/>
          <w:szCs w:val="24"/>
        </w:rPr>
        <w:t>approved as is</w:t>
      </w:r>
    </w:p>
    <w:p w:rsidR="0009264C" w:rsidRDefault="0009264C" w:rsidP="00621A6B">
      <w:pPr>
        <w:pStyle w:val="Standar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after="0"/>
        <w:rPr>
          <w:rFonts w:ascii="Arial" w:hAnsi="Arial" w:cs="Arial"/>
          <w:bCs/>
          <w:sz w:val="24"/>
          <w:szCs w:val="24"/>
        </w:rPr>
      </w:pPr>
    </w:p>
    <w:p w:rsidR="00E053B7" w:rsidRPr="002F4FEC" w:rsidRDefault="00E053B7" w:rsidP="00E053B7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GreenEarth® as a Replacement Cleaning System in the Garment Care Industry and its Consequences</w:t>
      </w:r>
      <w:r w:rsidRPr="002F4FE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A257D9" w:rsidRPr="00E70ED2" w:rsidRDefault="00E053B7" w:rsidP="00E053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8460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25EE5">
        <w:rPr>
          <w:rFonts w:ascii="Arial" w:hAnsi="Arial" w:cs="Arial"/>
          <w:b/>
          <w:i/>
          <w:color w:val="000000"/>
        </w:rPr>
        <w:t>Tim Maxwell, President, GreenEarth Cleaning®</w:t>
      </w:r>
    </w:p>
    <w:p w:rsidR="00E053B7" w:rsidRDefault="00E053B7" w:rsidP="00264B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/>
        <w:rPr>
          <w:rFonts w:ascii="Arial" w:hAnsi="Arial" w:cs="Arial"/>
          <w:sz w:val="24"/>
          <w:szCs w:val="24"/>
        </w:rPr>
      </w:pPr>
    </w:p>
    <w:p w:rsidR="0025372C" w:rsidRDefault="000A434B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 w:rsidRPr="000A434B">
        <w:rPr>
          <w:rFonts w:ascii="Arial" w:hAnsi="Arial" w:cs="Arial"/>
          <w:sz w:val="24"/>
          <w:szCs w:val="24"/>
        </w:rPr>
        <w:t xml:space="preserve">It is known as </w:t>
      </w:r>
      <w:proofErr w:type="spellStart"/>
      <w:r w:rsidRPr="000A434B">
        <w:rPr>
          <w:rFonts w:ascii="Arial" w:hAnsi="Arial" w:cs="Arial"/>
          <w:color w:val="000000"/>
          <w:sz w:val="24"/>
          <w:szCs w:val="24"/>
        </w:rPr>
        <w:t>Deca</w:t>
      </w:r>
      <w:proofErr w:type="spellEnd"/>
      <w:r w:rsidRPr="000A434B">
        <w:rPr>
          <w:rFonts w:ascii="Arial" w:hAnsi="Arial" w:cs="Arial"/>
          <w:color w:val="000000"/>
          <w:sz w:val="24"/>
          <w:szCs w:val="24"/>
        </w:rPr>
        <w:t>-Methyl-</w:t>
      </w:r>
      <w:proofErr w:type="spellStart"/>
      <w:r w:rsidRPr="000A434B">
        <w:rPr>
          <w:rFonts w:ascii="Arial" w:hAnsi="Arial" w:cs="Arial"/>
          <w:color w:val="000000"/>
          <w:sz w:val="24"/>
          <w:szCs w:val="24"/>
        </w:rPr>
        <w:t>Cyclo</w:t>
      </w:r>
      <w:proofErr w:type="spellEnd"/>
      <w:r w:rsidRPr="000A434B">
        <w:rPr>
          <w:rFonts w:ascii="Arial" w:hAnsi="Arial" w:cs="Arial"/>
          <w:color w:val="000000"/>
          <w:sz w:val="24"/>
          <w:szCs w:val="24"/>
        </w:rPr>
        <w:t>- Penta-Siloxane (D5) or Volatile Methyl Siloxane</w:t>
      </w:r>
      <w:r w:rsidR="00264B96">
        <w:rPr>
          <w:rFonts w:ascii="Arial" w:hAnsi="Arial" w:cs="Arial"/>
          <w:color w:val="000000"/>
          <w:sz w:val="24"/>
          <w:szCs w:val="24"/>
        </w:rPr>
        <w:t xml:space="preserve"> (VMS)</w:t>
      </w:r>
      <w:r w:rsidR="00AC1398" w:rsidRPr="000A434B">
        <w:rPr>
          <w:rFonts w:ascii="Arial" w:hAnsi="Arial" w:cs="Arial"/>
          <w:sz w:val="24"/>
          <w:szCs w:val="24"/>
        </w:rPr>
        <w:t>.</w:t>
      </w:r>
    </w:p>
    <w:p w:rsidR="000A434B" w:rsidRDefault="000A434B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 regulated as a volatile organic compound (VOC) under the Clean Air Act.</w:t>
      </w:r>
    </w:p>
    <w:p w:rsidR="000A434B" w:rsidRDefault="000A434B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a flash point of approximately 78 </w:t>
      </w:r>
      <w:proofErr w:type="spellStart"/>
      <w:r w:rsidRPr="000A434B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 (170 </w:t>
      </w:r>
      <w:proofErr w:type="spellStart"/>
      <w:r w:rsidRPr="000A434B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F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264B96" w:rsidRDefault="00264B96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Listing of VMS as an acceptable substitute in precision cleaning August 26, 1994</w:t>
      </w:r>
    </w:p>
    <w:p w:rsidR="00264B96" w:rsidRDefault="00264B96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Comparisons were made with the use of Perchloroethylene</w:t>
      </w:r>
      <w:r w:rsidR="005A3BE5">
        <w:rPr>
          <w:rFonts w:ascii="Arial" w:hAnsi="Arial" w:cs="Arial"/>
          <w:sz w:val="24"/>
          <w:szCs w:val="24"/>
        </w:rPr>
        <w:t xml:space="preserve"> (Perc)</w:t>
      </w:r>
      <w:r>
        <w:rPr>
          <w:rFonts w:ascii="Arial" w:hAnsi="Arial" w:cs="Arial"/>
          <w:sz w:val="24"/>
          <w:szCs w:val="24"/>
        </w:rPr>
        <w:t xml:space="preserve"> and hydrocarbons – Exxon DF 2000, K-</w:t>
      </w:r>
      <w:proofErr w:type="spellStart"/>
      <w:r>
        <w:rPr>
          <w:rFonts w:ascii="Arial" w:hAnsi="Arial" w:cs="Arial"/>
          <w:sz w:val="24"/>
          <w:szCs w:val="24"/>
        </w:rPr>
        <w:t>Tex</w:t>
      </w:r>
      <w:proofErr w:type="spellEnd"/>
      <w:r>
        <w:rPr>
          <w:rFonts w:ascii="Arial" w:hAnsi="Arial" w:cs="Arial"/>
          <w:sz w:val="24"/>
          <w:szCs w:val="24"/>
        </w:rPr>
        <w:t>, Intense and Gen X.</w:t>
      </w:r>
    </w:p>
    <w:p w:rsidR="001A07DD" w:rsidRDefault="001A07DD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Cleaning with Green Earth is a similar process to cleaning with perc and works almost as well, although pre-spotting is sometimes necessary. It is also gentler on garments with beads and sequins. </w:t>
      </w:r>
      <w:r w:rsidR="00FC7F8B">
        <w:rPr>
          <w:rFonts w:ascii="Arial" w:hAnsi="Arial" w:cs="Arial"/>
          <w:sz w:val="24"/>
          <w:szCs w:val="24"/>
        </w:rPr>
        <w:t>However, many dry cleaner owners are skeptical of new technology with which they are not familiar</w:t>
      </w:r>
      <w:r w:rsidR="009F1DAB">
        <w:rPr>
          <w:rFonts w:ascii="Arial" w:hAnsi="Arial" w:cs="Arial"/>
          <w:sz w:val="24"/>
          <w:szCs w:val="24"/>
        </w:rPr>
        <w:t xml:space="preserve"> and/or do not have the money to replace their machines</w:t>
      </w:r>
      <w:r w:rsidR="00121302">
        <w:rPr>
          <w:rFonts w:ascii="Arial" w:hAnsi="Arial" w:cs="Arial"/>
          <w:sz w:val="24"/>
          <w:szCs w:val="24"/>
        </w:rPr>
        <w:t xml:space="preserve"> or pay the annual license fee to use Green Earth</w:t>
      </w:r>
      <w:r w:rsidR="00FC7F8B">
        <w:rPr>
          <w:rFonts w:ascii="Arial" w:hAnsi="Arial" w:cs="Arial"/>
          <w:sz w:val="24"/>
          <w:szCs w:val="24"/>
        </w:rPr>
        <w:t xml:space="preserve">. </w:t>
      </w:r>
      <w:r w:rsidR="009F1DAB">
        <w:rPr>
          <w:rFonts w:ascii="Arial" w:hAnsi="Arial" w:cs="Arial"/>
          <w:sz w:val="24"/>
          <w:szCs w:val="24"/>
        </w:rPr>
        <w:t xml:space="preserve">New entrants to the industry are embracing alternatives more the existing shops.   </w:t>
      </w:r>
    </w:p>
    <w:p w:rsidR="005A3BE5" w:rsidRDefault="005A3BE5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solvents discussed included </w:t>
      </w:r>
      <w:proofErr w:type="spellStart"/>
      <w:r>
        <w:rPr>
          <w:rFonts w:ascii="Arial" w:hAnsi="Arial" w:cs="Arial"/>
          <w:sz w:val="24"/>
          <w:szCs w:val="24"/>
        </w:rPr>
        <w:t>Solvon</w:t>
      </w:r>
      <w:proofErr w:type="spellEnd"/>
      <w:r>
        <w:rPr>
          <w:rFonts w:ascii="Arial" w:hAnsi="Arial" w:cs="Arial"/>
          <w:sz w:val="24"/>
          <w:szCs w:val="24"/>
        </w:rPr>
        <w:t xml:space="preserve"> K4 and </w:t>
      </w:r>
      <w:proofErr w:type="spellStart"/>
      <w:r>
        <w:rPr>
          <w:rFonts w:ascii="Arial" w:hAnsi="Arial" w:cs="Arial"/>
          <w:sz w:val="24"/>
          <w:szCs w:val="24"/>
        </w:rPr>
        <w:t>Sensene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A3BE5" w:rsidRDefault="005A3BE5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issue of concern is the use of Perc and its perceived risk for contaminating ground and ground water relative to the number of sites undergoing remediation.  Tenant – </w:t>
      </w:r>
      <w:r>
        <w:rPr>
          <w:rFonts w:ascii="Arial" w:hAnsi="Arial" w:cs="Arial"/>
          <w:sz w:val="24"/>
          <w:szCs w:val="24"/>
        </w:rPr>
        <w:lastRenderedPageBreak/>
        <w:t>landlord lease agreements may incorporate language regarding certain classes of solvents and the prohibition of their use.</w:t>
      </w:r>
    </w:p>
    <w:p w:rsidR="00AC1398" w:rsidRDefault="00AC1398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C13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If you have questions, </w:t>
      </w:r>
      <w:r w:rsidR="00B66DA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Tim can </w:t>
      </w:r>
      <w:r w:rsidRPr="00AC13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be reached at </w:t>
      </w:r>
      <w:hyperlink r:id="rId7" w:history="1">
        <w:r w:rsidR="00B66DA9" w:rsidRPr="00FA111B">
          <w:rPr>
            <w:rStyle w:val="Hyperlink"/>
            <w:rFonts w:ascii="Arial" w:hAnsi="Arial" w:cs="Arial"/>
            <w:sz w:val="24"/>
            <w:szCs w:val="24"/>
          </w:rPr>
          <w:t>TMaxwell@GreenEarthCleaning.com</w:t>
        </w:r>
      </w:hyperlink>
      <w:r w:rsidR="00B66DA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(816</w:t>
      </w:r>
      <w:r w:rsidRPr="00AC13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) </w:t>
      </w:r>
      <w:r w:rsidR="00B66DA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926</w:t>
      </w:r>
      <w:r w:rsidRPr="00AC13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-</w:t>
      </w:r>
      <w:r w:rsidR="00B66DA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0895</w:t>
      </w:r>
      <w:r w:rsidRPr="00AC139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121302" w:rsidRPr="00574378" w:rsidRDefault="00121302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574378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Note: A recording of this webinar will be available on the Technical Subcommittee web page: </w:t>
      </w:r>
      <w:hyperlink r:id="rId8" w:history="1">
        <w:r w:rsidRPr="00574378">
          <w:rPr>
            <w:rStyle w:val="Hyperlink"/>
            <w:rFonts w:ascii="Arial" w:hAnsi="Arial" w:cs="Arial"/>
            <w:b/>
            <w:sz w:val="24"/>
            <w:szCs w:val="24"/>
          </w:rPr>
          <w:t>https://nationalsbeap.org/sbeap/resources/subcommittees/technical</w:t>
        </w:r>
      </w:hyperlink>
      <w:r w:rsidRPr="00574378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. </w:t>
      </w:r>
    </w:p>
    <w:p w:rsidR="005A3BE5" w:rsidRPr="001C0796" w:rsidRDefault="005A3BE5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1C0796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Other information on this topic</w:t>
      </w:r>
    </w:p>
    <w:p w:rsidR="005A3BE5" w:rsidRDefault="005A3BE5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C079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Alternative Solvents: Health and Environmental Impacts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California Air Resources Board, </w:t>
      </w:r>
      <w:r w:rsidR="001C079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September 4, 2015</w:t>
      </w:r>
      <w:r w:rsidR="00EF05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- </w:t>
      </w:r>
      <w:hyperlink r:id="rId9" w:history="1">
        <w:r w:rsidR="00EF0545" w:rsidRPr="00EF0545">
          <w:rPr>
            <w:rStyle w:val="Hyperlink"/>
            <w:rFonts w:ascii="Arial" w:hAnsi="Arial" w:cs="Arial"/>
            <w:sz w:val="24"/>
            <w:szCs w:val="24"/>
          </w:rPr>
          <w:t>https://www.arb.ca.gov/toxics/dryclean/notice2015_alt_</w:t>
        </w:r>
        <w:r w:rsidR="00EF0545" w:rsidRPr="00EF0545">
          <w:rPr>
            <w:rStyle w:val="Hyperlink"/>
            <w:rFonts w:ascii="Arial" w:hAnsi="Arial" w:cs="Arial"/>
            <w:b/>
            <w:bCs/>
            <w:sz w:val="24"/>
            <w:szCs w:val="24"/>
          </w:rPr>
          <w:t>solvents</w:t>
        </w:r>
        <w:r w:rsidR="00EF0545" w:rsidRPr="00EF0545">
          <w:rPr>
            <w:rStyle w:val="Hyperlink"/>
            <w:rFonts w:ascii="Arial" w:hAnsi="Arial" w:cs="Arial"/>
            <w:sz w:val="24"/>
            <w:szCs w:val="24"/>
          </w:rPr>
          <w:t>.pdf</w:t>
        </w:r>
      </w:hyperlink>
      <w:r w:rsidR="00EF0545">
        <w:rPr>
          <w:rStyle w:val="HTMLCite"/>
        </w:rPr>
        <w:t xml:space="preserve"> </w:t>
      </w:r>
    </w:p>
    <w:p w:rsidR="001C0796" w:rsidRDefault="001C0796" w:rsidP="006535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1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C0796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</w:rPr>
        <w:t>Alternatives to Perchloroethylene Used in Professional Garment Care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The Massachusetts Toxics Use Reduction Institute, </w:t>
      </w:r>
      <w:r w:rsidR="00EF05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December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2013</w:t>
      </w:r>
      <w:r w:rsidR="00EF05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- </w:t>
      </w:r>
      <w:hyperlink r:id="rId10" w:history="1">
        <w:r w:rsidR="00EF0545" w:rsidRPr="004B19C6">
          <w:rPr>
            <w:rStyle w:val="Hyperlink"/>
            <w:rFonts w:ascii="Arial" w:hAnsi="Arial" w:cs="Arial"/>
            <w:sz w:val="24"/>
            <w:szCs w:val="24"/>
          </w:rPr>
          <w:t>http://www.turi.org/content/download/7383/134432/file/PERC%20Alternative%20Assessment%20Fact%20Sheet.pdf</w:t>
        </w:r>
      </w:hyperlink>
      <w:r w:rsidR="00EF054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014D90" w:rsidRPr="0065356C" w:rsidRDefault="0024386F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0"/>
        <w:rPr>
          <w:rFonts w:ascii="Arial" w:hAnsi="Arial" w:cs="Arial"/>
          <w:b/>
          <w:bCs/>
          <w:sz w:val="24"/>
          <w:szCs w:val="24"/>
        </w:rPr>
      </w:pPr>
      <w:r w:rsidRPr="0065356C">
        <w:rPr>
          <w:rFonts w:ascii="Arial" w:hAnsi="Arial" w:cs="Arial"/>
          <w:b/>
          <w:bCs/>
          <w:sz w:val="24"/>
          <w:szCs w:val="24"/>
        </w:rPr>
        <w:t>Future topics for consideration</w:t>
      </w:r>
      <w:r w:rsidR="00C62D72">
        <w:rPr>
          <w:rFonts w:ascii="Arial" w:hAnsi="Arial" w:cs="Arial"/>
          <w:b/>
          <w:bCs/>
          <w:sz w:val="24"/>
          <w:szCs w:val="24"/>
        </w:rPr>
        <w:t xml:space="preserve"> / ideas for technical sessions for annual training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 xml:space="preserve">Multimedia compliance assistance: Barb Goode - KS &amp; Dan Nickey - IA – </w:t>
      </w:r>
      <w:r w:rsidRPr="0065356C">
        <w:rPr>
          <w:rFonts w:ascii="Arial" w:hAnsi="Arial" w:cs="Arial"/>
          <w:b/>
          <w:bCs/>
          <w:sz w:val="24"/>
          <w:szCs w:val="24"/>
        </w:rPr>
        <w:t>January 2017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>Coating manufacturers: information sharing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>How different states calculate potential to emit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>Electronic hazardous waste manifests user fees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>Hazardous waste generator improvements final rule by November 2016 – Jim O’Leary, EPA</w:t>
      </w:r>
    </w:p>
    <w:p w:rsidR="0065356C" w:rsidRP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>Startup/shutdown final rule: Tony Pendola -  NC &amp; Melissa Collier – MS</w:t>
      </w:r>
    </w:p>
    <w:p w:rsidR="0065356C" w:rsidRDefault="0065356C" w:rsidP="0065356C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56C">
        <w:rPr>
          <w:rFonts w:ascii="Arial" w:hAnsi="Arial" w:cs="Arial"/>
          <w:bCs/>
          <w:sz w:val="24"/>
          <w:szCs w:val="24"/>
        </w:rPr>
        <w:t>Region 5 Plating &amp; Polishing NESHAP (6W) outreach effort – current progress</w:t>
      </w:r>
    </w:p>
    <w:p w:rsidR="00C62D72" w:rsidRDefault="00C62D72" w:rsidP="00C62D72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Regulations we would like to see go away</w:t>
      </w:r>
    </w:p>
    <w:p w:rsidR="00C62D72" w:rsidRPr="00C62D72" w:rsidRDefault="00C62D72" w:rsidP="00C62D72">
      <w:pPr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Bring in industrial representatives to talk about their sector/regulations</w:t>
      </w:r>
    </w:p>
    <w:p w:rsidR="00014D90" w:rsidRPr="0065356C" w:rsidRDefault="00014D90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0"/>
        <w:rPr>
          <w:rFonts w:ascii="Arial" w:hAnsi="Arial" w:cs="Arial"/>
          <w:bCs/>
          <w:sz w:val="24"/>
          <w:szCs w:val="24"/>
        </w:rPr>
      </w:pPr>
    </w:p>
    <w:p w:rsidR="00EB6324" w:rsidRDefault="00EB6324" w:rsidP="00621A6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990"/>
        <w:rPr>
          <w:rFonts w:ascii="Arial" w:hAnsi="Arial" w:cs="Arial"/>
          <w:bCs/>
          <w:sz w:val="24"/>
          <w:szCs w:val="24"/>
        </w:rPr>
      </w:pPr>
    </w:p>
    <w:bookmarkEnd w:id="0"/>
    <w:bookmarkEnd w:id="1"/>
    <w:bookmarkEnd w:id="2"/>
    <w:bookmarkEnd w:id="3"/>
    <w:p w:rsidR="00C62D72" w:rsidRDefault="00C62D72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survey will be going out regarding participation in the annual training and what topics you are interested in. </w:t>
      </w:r>
    </w:p>
    <w:p w:rsidR="002D7898" w:rsidRPr="00E91B7E" w:rsidRDefault="004C0BC5" w:rsidP="00621A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Mi</w:t>
      </w:r>
      <w:r w:rsidR="00581A34" w:rsidRPr="00E91B7E">
        <w:rPr>
          <w:rFonts w:ascii="Arial" w:hAnsi="Arial" w:cs="Arial"/>
          <w:bCs/>
          <w:sz w:val="24"/>
          <w:szCs w:val="24"/>
        </w:rPr>
        <w:t xml:space="preserve">nutes prepared by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Lisa Ashenbrenner </w:t>
      </w:r>
      <w:r w:rsidR="00E117D1">
        <w:rPr>
          <w:rFonts w:ascii="Arial" w:hAnsi="Arial" w:cs="Arial"/>
          <w:bCs/>
          <w:sz w:val="24"/>
          <w:szCs w:val="24"/>
        </w:rPr>
        <w:t xml:space="preserve">Hunt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– WI </w:t>
      </w:r>
      <w:r w:rsidR="008D15D0">
        <w:rPr>
          <w:rFonts w:ascii="Arial" w:hAnsi="Arial" w:cs="Arial"/>
          <w:bCs/>
          <w:sz w:val="24"/>
          <w:szCs w:val="24"/>
        </w:rPr>
        <w:t>(</w:t>
      </w:r>
      <w:hyperlink r:id="rId11" w:history="1">
        <w:r w:rsidR="00800298" w:rsidRPr="00B02DA5">
          <w:rPr>
            <w:rStyle w:val="Hyperlink"/>
            <w:rFonts w:ascii="Arial" w:hAnsi="Arial" w:cs="Arial"/>
            <w:bCs/>
            <w:sz w:val="24"/>
            <w:szCs w:val="24"/>
          </w:rPr>
          <w:t>lisa.ashenbrennerhunt@wisconsin.gov</w:t>
        </w:r>
      </w:hyperlink>
      <w:r w:rsidR="008D15D0">
        <w:rPr>
          <w:rFonts w:ascii="Arial" w:hAnsi="Arial" w:cs="Arial"/>
          <w:bCs/>
          <w:sz w:val="24"/>
          <w:szCs w:val="24"/>
        </w:rPr>
        <w:t xml:space="preserve">)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and Mark Stoddard </w:t>
      </w:r>
      <w:r w:rsidR="008D15D0">
        <w:rPr>
          <w:rFonts w:ascii="Arial" w:hAnsi="Arial" w:cs="Arial"/>
          <w:bCs/>
          <w:sz w:val="24"/>
          <w:szCs w:val="24"/>
        </w:rPr>
        <w:t>–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 IN</w:t>
      </w:r>
      <w:r w:rsidR="008D15D0">
        <w:rPr>
          <w:rFonts w:ascii="Arial" w:hAnsi="Arial" w:cs="Arial"/>
          <w:bCs/>
          <w:sz w:val="24"/>
          <w:szCs w:val="24"/>
        </w:rPr>
        <w:t xml:space="preserve"> (</w:t>
      </w:r>
      <w:hyperlink r:id="rId12" w:history="1">
        <w:r w:rsidR="008D15D0" w:rsidRPr="009415D5">
          <w:rPr>
            <w:rStyle w:val="Hyperlink"/>
            <w:rFonts w:ascii="Arial" w:hAnsi="Arial" w:cs="Arial"/>
            <w:bCs/>
            <w:sz w:val="24"/>
            <w:szCs w:val="24"/>
          </w:rPr>
          <w:t>MSTODDAR@idem.IN.gov</w:t>
        </w:r>
      </w:hyperlink>
      <w:r w:rsidR="008D15D0">
        <w:rPr>
          <w:rFonts w:ascii="Arial" w:hAnsi="Arial" w:cs="Arial"/>
          <w:bCs/>
          <w:sz w:val="24"/>
          <w:szCs w:val="24"/>
        </w:rPr>
        <w:t>)</w:t>
      </w:r>
      <w:r w:rsidRPr="00E91B7E">
        <w:rPr>
          <w:rFonts w:ascii="Arial" w:hAnsi="Arial" w:cs="Arial"/>
          <w:bCs/>
          <w:sz w:val="24"/>
          <w:szCs w:val="24"/>
        </w:rPr>
        <w:t>, Technical Subcommittee Co-Chair</w:t>
      </w:r>
      <w:r w:rsidR="00926B85" w:rsidRPr="00E91B7E">
        <w:rPr>
          <w:rFonts w:ascii="Arial" w:hAnsi="Arial" w:cs="Arial"/>
          <w:bCs/>
          <w:sz w:val="24"/>
          <w:szCs w:val="24"/>
        </w:rPr>
        <w:t>s</w:t>
      </w:r>
      <w:r w:rsidR="008D15D0">
        <w:rPr>
          <w:rFonts w:ascii="Arial" w:hAnsi="Arial" w:cs="Arial"/>
          <w:bCs/>
          <w:sz w:val="24"/>
          <w:szCs w:val="24"/>
        </w:rPr>
        <w:t>.</w:t>
      </w:r>
    </w:p>
    <w:sectPr w:rsidR="002D7898" w:rsidRPr="00E91B7E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0F8"/>
    <w:multiLevelType w:val="hybridMultilevel"/>
    <w:tmpl w:val="16366608"/>
    <w:lvl w:ilvl="0" w:tplc="88F47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D3CF1"/>
    <w:multiLevelType w:val="hybridMultilevel"/>
    <w:tmpl w:val="55587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D8D"/>
    <w:multiLevelType w:val="hybridMultilevel"/>
    <w:tmpl w:val="BAFC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A09D0"/>
    <w:multiLevelType w:val="hybridMultilevel"/>
    <w:tmpl w:val="5D6E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A74F3"/>
    <w:multiLevelType w:val="hybridMultilevel"/>
    <w:tmpl w:val="F7EE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241CE"/>
    <w:multiLevelType w:val="hybridMultilevel"/>
    <w:tmpl w:val="52A0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4467"/>
    <w:multiLevelType w:val="hybridMultilevel"/>
    <w:tmpl w:val="AEB8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D49CE"/>
    <w:multiLevelType w:val="hybridMultilevel"/>
    <w:tmpl w:val="319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00574"/>
    <w:multiLevelType w:val="hybridMultilevel"/>
    <w:tmpl w:val="AA7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D0FDF"/>
    <w:multiLevelType w:val="hybridMultilevel"/>
    <w:tmpl w:val="4840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5179"/>
    <w:multiLevelType w:val="hybridMultilevel"/>
    <w:tmpl w:val="157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490"/>
    <w:multiLevelType w:val="hybridMultilevel"/>
    <w:tmpl w:val="120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A062B"/>
    <w:multiLevelType w:val="hybridMultilevel"/>
    <w:tmpl w:val="59F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E374B"/>
    <w:multiLevelType w:val="hybridMultilevel"/>
    <w:tmpl w:val="0DD4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73DED"/>
    <w:multiLevelType w:val="hybridMultilevel"/>
    <w:tmpl w:val="D71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E0062"/>
    <w:multiLevelType w:val="hybridMultilevel"/>
    <w:tmpl w:val="BF3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556DC"/>
    <w:multiLevelType w:val="hybridMultilevel"/>
    <w:tmpl w:val="18A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47EA2"/>
    <w:multiLevelType w:val="hybridMultilevel"/>
    <w:tmpl w:val="1DF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6341"/>
    <w:multiLevelType w:val="hybridMultilevel"/>
    <w:tmpl w:val="0C84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D106A"/>
    <w:multiLevelType w:val="hybridMultilevel"/>
    <w:tmpl w:val="2EDC1DB6"/>
    <w:lvl w:ilvl="0" w:tplc="DA58E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20859"/>
    <w:multiLevelType w:val="hybridMultilevel"/>
    <w:tmpl w:val="F0625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4D5D01"/>
    <w:multiLevelType w:val="hybridMultilevel"/>
    <w:tmpl w:val="886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2"/>
  </w:num>
  <w:num w:numId="5">
    <w:abstractNumId w:val="18"/>
  </w:num>
  <w:num w:numId="6">
    <w:abstractNumId w:val="13"/>
  </w:num>
  <w:num w:numId="7">
    <w:abstractNumId w:val="0"/>
  </w:num>
  <w:num w:numId="8">
    <w:abstractNumId w:val="17"/>
  </w:num>
  <w:num w:numId="9">
    <w:abstractNumId w:val="23"/>
  </w:num>
  <w:num w:numId="10">
    <w:abstractNumId w:val="15"/>
  </w:num>
  <w:num w:numId="11">
    <w:abstractNumId w:val="5"/>
  </w:num>
  <w:num w:numId="12">
    <w:abstractNumId w:val="1"/>
  </w:num>
  <w:num w:numId="13">
    <w:abstractNumId w:val="24"/>
  </w:num>
  <w:num w:numId="14">
    <w:abstractNumId w:val="11"/>
  </w:num>
  <w:num w:numId="15">
    <w:abstractNumId w:val="6"/>
  </w:num>
  <w:num w:numId="16">
    <w:abstractNumId w:val="25"/>
  </w:num>
  <w:num w:numId="17">
    <w:abstractNumId w:val="7"/>
  </w:num>
  <w:num w:numId="18">
    <w:abstractNumId w:val="4"/>
  </w:num>
  <w:num w:numId="19">
    <w:abstractNumId w:val="19"/>
  </w:num>
  <w:num w:numId="20">
    <w:abstractNumId w:val="16"/>
  </w:num>
  <w:num w:numId="21">
    <w:abstractNumId w:val="2"/>
  </w:num>
  <w:num w:numId="22">
    <w:abstractNumId w:val="22"/>
  </w:num>
  <w:num w:numId="23">
    <w:abstractNumId w:val="10"/>
  </w:num>
  <w:num w:numId="24">
    <w:abstractNumId w:val="20"/>
  </w:num>
  <w:num w:numId="25">
    <w:abstractNumId w:val="8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1"/>
    <w:rsid w:val="00014D90"/>
    <w:rsid w:val="00024A01"/>
    <w:rsid w:val="00042693"/>
    <w:rsid w:val="00047B94"/>
    <w:rsid w:val="00052E37"/>
    <w:rsid w:val="00061445"/>
    <w:rsid w:val="000801DA"/>
    <w:rsid w:val="0009264C"/>
    <w:rsid w:val="0009638E"/>
    <w:rsid w:val="000A014F"/>
    <w:rsid w:val="000A0F9E"/>
    <w:rsid w:val="000A31CD"/>
    <w:rsid w:val="000A434B"/>
    <w:rsid w:val="000B0210"/>
    <w:rsid w:val="000C0C3E"/>
    <w:rsid w:val="000C0F4A"/>
    <w:rsid w:val="000C1AAB"/>
    <w:rsid w:val="000C2435"/>
    <w:rsid w:val="000C3A01"/>
    <w:rsid w:val="000C445B"/>
    <w:rsid w:val="000C6D68"/>
    <w:rsid w:val="000D39D2"/>
    <w:rsid w:val="000D4686"/>
    <w:rsid w:val="0010701B"/>
    <w:rsid w:val="0011023C"/>
    <w:rsid w:val="001203CA"/>
    <w:rsid w:val="00121150"/>
    <w:rsid w:val="00121302"/>
    <w:rsid w:val="001224FD"/>
    <w:rsid w:val="00126447"/>
    <w:rsid w:val="001264C1"/>
    <w:rsid w:val="00136F01"/>
    <w:rsid w:val="00143202"/>
    <w:rsid w:val="00145C3B"/>
    <w:rsid w:val="00157609"/>
    <w:rsid w:val="00170991"/>
    <w:rsid w:val="001717AE"/>
    <w:rsid w:val="00173E97"/>
    <w:rsid w:val="00192B97"/>
    <w:rsid w:val="00196A63"/>
    <w:rsid w:val="001A07DD"/>
    <w:rsid w:val="001A100E"/>
    <w:rsid w:val="001A6330"/>
    <w:rsid w:val="001C0796"/>
    <w:rsid w:val="001C3A56"/>
    <w:rsid w:val="001E2145"/>
    <w:rsid w:val="00203CB7"/>
    <w:rsid w:val="00204B2F"/>
    <w:rsid w:val="00220E94"/>
    <w:rsid w:val="00222060"/>
    <w:rsid w:val="00224AAA"/>
    <w:rsid w:val="00233E33"/>
    <w:rsid w:val="00236B87"/>
    <w:rsid w:val="0024386F"/>
    <w:rsid w:val="00247E34"/>
    <w:rsid w:val="002502FB"/>
    <w:rsid w:val="00252C55"/>
    <w:rsid w:val="0025372C"/>
    <w:rsid w:val="00256274"/>
    <w:rsid w:val="00261668"/>
    <w:rsid w:val="00264B96"/>
    <w:rsid w:val="0028060D"/>
    <w:rsid w:val="002841F5"/>
    <w:rsid w:val="00285BBD"/>
    <w:rsid w:val="002878E0"/>
    <w:rsid w:val="00294ADF"/>
    <w:rsid w:val="002A7A2E"/>
    <w:rsid w:val="002B0AA0"/>
    <w:rsid w:val="002B7D1D"/>
    <w:rsid w:val="002C2F76"/>
    <w:rsid w:val="002D7898"/>
    <w:rsid w:val="002D794E"/>
    <w:rsid w:val="003419D8"/>
    <w:rsid w:val="00345315"/>
    <w:rsid w:val="00356BE1"/>
    <w:rsid w:val="00371D2A"/>
    <w:rsid w:val="00377402"/>
    <w:rsid w:val="00382969"/>
    <w:rsid w:val="00382FBF"/>
    <w:rsid w:val="00396E03"/>
    <w:rsid w:val="00396EA9"/>
    <w:rsid w:val="003A2449"/>
    <w:rsid w:val="003B24C0"/>
    <w:rsid w:val="003C170C"/>
    <w:rsid w:val="003D6EC5"/>
    <w:rsid w:val="003E1151"/>
    <w:rsid w:val="003F5861"/>
    <w:rsid w:val="00401D6C"/>
    <w:rsid w:val="0040348E"/>
    <w:rsid w:val="00403751"/>
    <w:rsid w:val="00404EA3"/>
    <w:rsid w:val="00405568"/>
    <w:rsid w:val="00407EE4"/>
    <w:rsid w:val="00410CFD"/>
    <w:rsid w:val="00421628"/>
    <w:rsid w:val="004217E5"/>
    <w:rsid w:val="0042250D"/>
    <w:rsid w:val="00425EA3"/>
    <w:rsid w:val="0044495A"/>
    <w:rsid w:val="00454D63"/>
    <w:rsid w:val="00460A40"/>
    <w:rsid w:val="00462892"/>
    <w:rsid w:val="0046438C"/>
    <w:rsid w:val="004867C3"/>
    <w:rsid w:val="00492B51"/>
    <w:rsid w:val="004A19EB"/>
    <w:rsid w:val="004A5C21"/>
    <w:rsid w:val="004B1CCC"/>
    <w:rsid w:val="004B2171"/>
    <w:rsid w:val="004B4E2B"/>
    <w:rsid w:val="004B660B"/>
    <w:rsid w:val="004C002A"/>
    <w:rsid w:val="004C0BC5"/>
    <w:rsid w:val="004C0C19"/>
    <w:rsid w:val="004C516B"/>
    <w:rsid w:val="004C5F4B"/>
    <w:rsid w:val="004D44DD"/>
    <w:rsid w:val="004D770A"/>
    <w:rsid w:val="004D7D06"/>
    <w:rsid w:val="004E2A2D"/>
    <w:rsid w:val="004F4C75"/>
    <w:rsid w:val="004F5D75"/>
    <w:rsid w:val="004F6265"/>
    <w:rsid w:val="00503D22"/>
    <w:rsid w:val="00521437"/>
    <w:rsid w:val="00521646"/>
    <w:rsid w:val="0052681C"/>
    <w:rsid w:val="0053121C"/>
    <w:rsid w:val="00534E7B"/>
    <w:rsid w:val="005373D1"/>
    <w:rsid w:val="00540610"/>
    <w:rsid w:val="005416ED"/>
    <w:rsid w:val="0054183E"/>
    <w:rsid w:val="00547ADB"/>
    <w:rsid w:val="0055288A"/>
    <w:rsid w:val="0055297E"/>
    <w:rsid w:val="00557FED"/>
    <w:rsid w:val="00564E9A"/>
    <w:rsid w:val="00573C56"/>
    <w:rsid w:val="00574378"/>
    <w:rsid w:val="005750D9"/>
    <w:rsid w:val="00575FB4"/>
    <w:rsid w:val="00580856"/>
    <w:rsid w:val="00581A34"/>
    <w:rsid w:val="0058265E"/>
    <w:rsid w:val="00585D5A"/>
    <w:rsid w:val="005A15F0"/>
    <w:rsid w:val="005A3BE5"/>
    <w:rsid w:val="005A4C71"/>
    <w:rsid w:val="005B1DAA"/>
    <w:rsid w:val="005B5F4D"/>
    <w:rsid w:val="005B7FDA"/>
    <w:rsid w:val="00601F56"/>
    <w:rsid w:val="00603BEB"/>
    <w:rsid w:val="00610439"/>
    <w:rsid w:val="00614943"/>
    <w:rsid w:val="00621A6B"/>
    <w:rsid w:val="0062608D"/>
    <w:rsid w:val="00631E22"/>
    <w:rsid w:val="00631FAA"/>
    <w:rsid w:val="006355A8"/>
    <w:rsid w:val="0065356C"/>
    <w:rsid w:val="0068067A"/>
    <w:rsid w:val="00680787"/>
    <w:rsid w:val="0068627B"/>
    <w:rsid w:val="006906BB"/>
    <w:rsid w:val="00697145"/>
    <w:rsid w:val="006A0323"/>
    <w:rsid w:val="006A5AFE"/>
    <w:rsid w:val="006B57B3"/>
    <w:rsid w:val="006C5BB5"/>
    <w:rsid w:val="006C63E1"/>
    <w:rsid w:val="006D3B50"/>
    <w:rsid w:val="006D416D"/>
    <w:rsid w:val="006F1934"/>
    <w:rsid w:val="006F7006"/>
    <w:rsid w:val="006F7E34"/>
    <w:rsid w:val="00712E91"/>
    <w:rsid w:val="00752C06"/>
    <w:rsid w:val="00766DA9"/>
    <w:rsid w:val="00767FD4"/>
    <w:rsid w:val="00781B08"/>
    <w:rsid w:val="00786345"/>
    <w:rsid w:val="0079090B"/>
    <w:rsid w:val="00793BE1"/>
    <w:rsid w:val="00797D9B"/>
    <w:rsid w:val="007A0641"/>
    <w:rsid w:val="007B40F0"/>
    <w:rsid w:val="007C2555"/>
    <w:rsid w:val="007E70AB"/>
    <w:rsid w:val="00800298"/>
    <w:rsid w:val="00804D18"/>
    <w:rsid w:val="00805ACE"/>
    <w:rsid w:val="008139BC"/>
    <w:rsid w:val="0081467E"/>
    <w:rsid w:val="00825614"/>
    <w:rsid w:val="0082651B"/>
    <w:rsid w:val="008408BF"/>
    <w:rsid w:val="00844963"/>
    <w:rsid w:val="0086047A"/>
    <w:rsid w:val="008604DC"/>
    <w:rsid w:val="008638AF"/>
    <w:rsid w:val="008734DE"/>
    <w:rsid w:val="00892679"/>
    <w:rsid w:val="00893964"/>
    <w:rsid w:val="008A7482"/>
    <w:rsid w:val="008B60D6"/>
    <w:rsid w:val="008C7167"/>
    <w:rsid w:val="008D15D0"/>
    <w:rsid w:val="008E3820"/>
    <w:rsid w:val="008F4D09"/>
    <w:rsid w:val="009055C5"/>
    <w:rsid w:val="00913CEB"/>
    <w:rsid w:val="00917975"/>
    <w:rsid w:val="00926B85"/>
    <w:rsid w:val="00926F78"/>
    <w:rsid w:val="0093331A"/>
    <w:rsid w:val="00933D2B"/>
    <w:rsid w:val="00963187"/>
    <w:rsid w:val="00971403"/>
    <w:rsid w:val="00977045"/>
    <w:rsid w:val="0098419E"/>
    <w:rsid w:val="00994AE1"/>
    <w:rsid w:val="009C525A"/>
    <w:rsid w:val="009D128C"/>
    <w:rsid w:val="009D3DA0"/>
    <w:rsid w:val="009D7082"/>
    <w:rsid w:val="009E62E7"/>
    <w:rsid w:val="009E6E6E"/>
    <w:rsid w:val="009E7D3F"/>
    <w:rsid w:val="009F06A1"/>
    <w:rsid w:val="009F1DAB"/>
    <w:rsid w:val="00A14710"/>
    <w:rsid w:val="00A257D9"/>
    <w:rsid w:val="00A360A5"/>
    <w:rsid w:val="00A36DD1"/>
    <w:rsid w:val="00A37FFC"/>
    <w:rsid w:val="00A451DA"/>
    <w:rsid w:val="00A72295"/>
    <w:rsid w:val="00A82B15"/>
    <w:rsid w:val="00A84FFD"/>
    <w:rsid w:val="00A9253A"/>
    <w:rsid w:val="00A969F1"/>
    <w:rsid w:val="00AA039B"/>
    <w:rsid w:val="00AA5883"/>
    <w:rsid w:val="00AC1398"/>
    <w:rsid w:val="00AD7ED7"/>
    <w:rsid w:val="00AD7FE6"/>
    <w:rsid w:val="00B03AF6"/>
    <w:rsid w:val="00B21843"/>
    <w:rsid w:val="00B22074"/>
    <w:rsid w:val="00B315C7"/>
    <w:rsid w:val="00B40A74"/>
    <w:rsid w:val="00B40CC0"/>
    <w:rsid w:val="00B440E5"/>
    <w:rsid w:val="00B52889"/>
    <w:rsid w:val="00B53AA4"/>
    <w:rsid w:val="00B55BD0"/>
    <w:rsid w:val="00B574AC"/>
    <w:rsid w:val="00B65778"/>
    <w:rsid w:val="00B66DA9"/>
    <w:rsid w:val="00B716D7"/>
    <w:rsid w:val="00B73AE7"/>
    <w:rsid w:val="00B8779A"/>
    <w:rsid w:val="00B9010B"/>
    <w:rsid w:val="00B910FA"/>
    <w:rsid w:val="00B95CF9"/>
    <w:rsid w:val="00B9632B"/>
    <w:rsid w:val="00BB129B"/>
    <w:rsid w:val="00BB47A1"/>
    <w:rsid w:val="00BB73B1"/>
    <w:rsid w:val="00BC182F"/>
    <w:rsid w:val="00BD2116"/>
    <w:rsid w:val="00BD27B5"/>
    <w:rsid w:val="00BD6EFC"/>
    <w:rsid w:val="00BD6FE4"/>
    <w:rsid w:val="00BE7040"/>
    <w:rsid w:val="00C04022"/>
    <w:rsid w:val="00C117E7"/>
    <w:rsid w:val="00C25183"/>
    <w:rsid w:val="00C47E65"/>
    <w:rsid w:val="00C5051E"/>
    <w:rsid w:val="00C53814"/>
    <w:rsid w:val="00C6170F"/>
    <w:rsid w:val="00C62D72"/>
    <w:rsid w:val="00C63118"/>
    <w:rsid w:val="00C71446"/>
    <w:rsid w:val="00C7499E"/>
    <w:rsid w:val="00C77ADC"/>
    <w:rsid w:val="00C82CDA"/>
    <w:rsid w:val="00C95302"/>
    <w:rsid w:val="00CA59DA"/>
    <w:rsid w:val="00CB215D"/>
    <w:rsid w:val="00CD313B"/>
    <w:rsid w:val="00CD3FB3"/>
    <w:rsid w:val="00CD686B"/>
    <w:rsid w:val="00CE1E11"/>
    <w:rsid w:val="00CE43F9"/>
    <w:rsid w:val="00CE48D0"/>
    <w:rsid w:val="00CF3EF7"/>
    <w:rsid w:val="00D00999"/>
    <w:rsid w:val="00D010DC"/>
    <w:rsid w:val="00D01A63"/>
    <w:rsid w:val="00D13A69"/>
    <w:rsid w:val="00D17FF7"/>
    <w:rsid w:val="00D302B6"/>
    <w:rsid w:val="00D427FE"/>
    <w:rsid w:val="00D44D72"/>
    <w:rsid w:val="00D47D3C"/>
    <w:rsid w:val="00D52B56"/>
    <w:rsid w:val="00D55B52"/>
    <w:rsid w:val="00D560E5"/>
    <w:rsid w:val="00D61195"/>
    <w:rsid w:val="00D65497"/>
    <w:rsid w:val="00D66265"/>
    <w:rsid w:val="00D7142C"/>
    <w:rsid w:val="00D7585D"/>
    <w:rsid w:val="00D82413"/>
    <w:rsid w:val="00D86279"/>
    <w:rsid w:val="00D92DEE"/>
    <w:rsid w:val="00D96B11"/>
    <w:rsid w:val="00D9712B"/>
    <w:rsid w:val="00DA708B"/>
    <w:rsid w:val="00DA7EDB"/>
    <w:rsid w:val="00DB052D"/>
    <w:rsid w:val="00DB0C64"/>
    <w:rsid w:val="00DD0307"/>
    <w:rsid w:val="00DF4619"/>
    <w:rsid w:val="00E00442"/>
    <w:rsid w:val="00E0243F"/>
    <w:rsid w:val="00E024EA"/>
    <w:rsid w:val="00E053B7"/>
    <w:rsid w:val="00E117D1"/>
    <w:rsid w:val="00E13866"/>
    <w:rsid w:val="00E31FC8"/>
    <w:rsid w:val="00E363F7"/>
    <w:rsid w:val="00E41032"/>
    <w:rsid w:val="00E52011"/>
    <w:rsid w:val="00E55AB0"/>
    <w:rsid w:val="00E624D0"/>
    <w:rsid w:val="00E70ED2"/>
    <w:rsid w:val="00E77C29"/>
    <w:rsid w:val="00E83484"/>
    <w:rsid w:val="00E91B7E"/>
    <w:rsid w:val="00EA2BA9"/>
    <w:rsid w:val="00EA76BD"/>
    <w:rsid w:val="00EB1413"/>
    <w:rsid w:val="00EB6324"/>
    <w:rsid w:val="00EB66AB"/>
    <w:rsid w:val="00EC033D"/>
    <w:rsid w:val="00EC228F"/>
    <w:rsid w:val="00ED0FEF"/>
    <w:rsid w:val="00EF0545"/>
    <w:rsid w:val="00EF4E7E"/>
    <w:rsid w:val="00F005FB"/>
    <w:rsid w:val="00F03080"/>
    <w:rsid w:val="00F04B4D"/>
    <w:rsid w:val="00F1162F"/>
    <w:rsid w:val="00F11F6B"/>
    <w:rsid w:val="00F277A1"/>
    <w:rsid w:val="00F30BB4"/>
    <w:rsid w:val="00F31041"/>
    <w:rsid w:val="00F534E6"/>
    <w:rsid w:val="00F61E89"/>
    <w:rsid w:val="00F776D4"/>
    <w:rsid w:val="00F86601"/>
    <w:rsid w:val="00FA2C61"/>
    <w:rsid w:val="00FB3947"/>
    <w:rsid w:val="00FC02EC"/>
    <w:rsid w:val="00FC21BC"/>
    <w:rsid w:val="00FC7F8B"/>
    <w:rsid w:val="00FD0714"/>
    <w:rsid w:val="00FD1275"/>
    <w:rsid w:val="00FD3123"/>
    <w:rsid w:val="00FE1F18"/>
    <w:rsid w:val="00FF1F2C"/>
    <w:rsid w:val="00FF293E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  <w:style w:type="paragraph" w:styleId="NormalWeb">
    <w:name w:val="Normal (Web)"/>
    <w:basedOn w:val="Normal"/>
    <w:uiPriority w:val="99"/>
    <w:rsid w:val="00F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72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F05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  <w:style w:type="paragraph" w:styleId="NormalWeb">
    <w:name w:val="Normal (Web)"/>
    <w:basedOn w:val="Normal"/>
    <w:uiPriority w:val="99"/>
    <w:rsid w:val="00F0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72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F0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sbeap.org/sbeap/resources/subcommittees/technic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Maxwell@GreenEarthCleaning.com" TargetMode="External"/><Relationship Id="rId12" Type="http://schemas.openxmlformats.org/officeDocument/2006/relationships/hyperlink" Target="mailto:MSTODDAR@idem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sa.ashenbrennerhunt@wisconsin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uri.org/content/download/7383/134432/file/PERC%20Alternative%20Assessment%20Fact%20Shee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b.ca.gov/toxics/dryclean/notice2015_alt_solven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6192-8994-4BF3-BC49-6CE12A92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Mark C. Stoddard</cp:lastModifiedBy>
  <cp:revision>2</cp:revision>
  <dcterms:created xsi:type="dcterms:W3CDTF">2017-01-17T18:18:00Z</dcterms:created>
  <dcterms:modified xsi:type="dcterms:W3CDTF">2017-01-17T18:18:00Z</dcterms:modified>
</cp:coreProperties>
</file>